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4" w:type="dxa"/>
        <w:tblInd w:w="-571" w:type="dxa"/>
        <w:tblCellMar>
          <w:top w:w="0" w:type="dxa"/>
          <w:left w:w="571" w:type="dxa"/>
          <w:bottom w:w="1074" w:type="dxa"/>
          <w:right w:w="73" w:type="dxa"/>
        </w:tblCellMar>
        <w:tblLook w:val="04A0" w:firstRow="1" w:lastRow="0" w:firstColumn="1" w:lastColumn="0" w:noHBand="0" w:noVBand="1"/>
      </w:tblPr>
      <w:tblGrid>
        <w:gridCol w:w="11234"/>
      </w:tblGrid>
      <w:tr w:rsidR="005979F4" w14:paraId="77F12E76" w14:textId="77777777">
        <w:trPr>
          <w:trHeight w:val="14834"/>
        </w:trPr>
        <w:tc>
          <w:tcPr>
            <w:tcW w:w="11234" w:type="dxa"/>
            <w:tcBorders>
              <w:top w:val="single" w:sz="8" w:space="0" w:color="455560"/>
              <w:left w:val="single" w:sz="8" w:space="0" w:color="455560"/>
              <w:bottom w:val="single" w:sz="8" w:space="0" w:color="455560"/>
              <w:right w:val="single" w:sz="8" w:space="0" w:color="000000"/>
            </w:tcBorders>
            <w:vAlign w:val="bottom"/>
          </w:tcPr>
          <w:p w14:paraId="39150F1A" w14:textId="42C2C3B0" w:rsidR="005979F4" w:rsidRDefault="005979F4">
            <w:pPr>
              <w:spacing w:after="0" w:line="259" w:lineRule="auto"/>
              <w:ind w:left="0" w:firstLine="0"/>
            </w:pPr>
          </w:p>
        </w:tc>
      </w:tr>
    </w:tbl>
    <w:p w14:paraId="7A9052C9" w14:textId="77777777" w:rsidR="005979F4" w:rsidRDefault="006705A7">
      <w:pPr>
        <w:spacing w:after="12" w:line="259" w:lineRule="auto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CDBF1B" wp14:editId="302937F1">
                <wp:simplePos x="0" y="0"/>
                <wp:positionH relativeFrom="column">
                  <wp:posOffset>-368807</wp:posOffset>
                </wp:positionH>
                <wp:positionV relativeFrom="paragraph">
                  <wp:posOffset>-441959</wp:posOffset>
                </wp:positionV>
                <wp:extent cx="7151878" cy="9437828"/>
                <wp:effectExtent l="0" t="0" r="0" b="0"/>
                <wp:wrapSquare wrapText="bothSides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878" cy="9437828"/>
                          <a:chOff x="0" y="0"/>
                          <a:chExt cx="7151878" cy="9437828"/>
                        </a:xfrm>
                      </wpg:grpSpPr>
                      <wps:wsp>
                        <wps:cNvPr id="226" name="Rectangle 226"/>
                        <wps:cNvSpPr/>
                        <wps:spPr>
                          <a:xfrm>
                            <a:off x="4674997" y="19616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4E799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978406" y="2094230"/>
                            <a:ext cx="42283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7CCF0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Naming of the KARIUS Hold Order in Cerner PowerChart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159629" y="2094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C9E03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569843" y="22649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757E9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569843" y="243560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D208D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542278" y="36932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B2321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35864" y="3825876"/>
                            <a:ext cx="61140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045E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Right click on the KARIUS Hold Order to Access the “Reference Information”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036185" y="3825876"/>
                            <a:ext cx="22587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02ED9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explains the clinical scenarios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800098" y="3996564"/>
                            <a:ext cx="47031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4D90D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where testing would be appropriate (see attached document).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337937" y="39965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987D4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542278" y="62995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5ADFE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38861" y="6432170"/>
                            <a:ext cx="57123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529AB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The provider should select the appropriate clinical scenario for their 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934077" y="643217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7B811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966081" y="6432170"/>
                            <a:ext cx="20821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373E7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according to the Reference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906903" y="6602858"/>
                            <a:ext cx="17648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17BAE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Information document.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233037" y="660285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CE79A" w14:textId="77777777" w:rsidR="005979F4" w:rsidRDefault="006705A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64308" y="1267206"/>
                            <a:ext cx="2209800" cy="79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7408" y="2578862"/>
                            <a:ext cx="5943600" cy="1209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7408" y="4480179"/>
                            <a:ext cx="5943600" cy="192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Shape 309"/>
                        <wps:cNvSpPr/>
                        <wps:spPr>
                          <a:xfrm>
                            <a:off x="1940433" y="1265555"/>
                            <a:ext cx="324802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8025" h="981075">
                                <a:moveTo>
                                  <a:pt x="0" y="981075"/>
                                </a:moveTo>
                                <a:lnTo>
                                  <a:pt x="3248025" y="981075"/>
                                </a:lnTo>
                                <a:lnTo>
                                  <a:pt x="3248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68808" y="2495043"/>
                            <a:ext cx="6438900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1704975">
                                <a:moveTo>
                                  <a:pt x="0" y="1704975"/>
                                </a:moveTo>
                                <a:lnTo>
                                  <a:pt x="6438900" y="1704975"/>
                                </a:lnTo>
                                <a:lnTo>
                                  <a:pt x="643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68808" y="4427856"/>
                            <a:ext cx="6438900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0" h="2333625">
                                <a:moveTo>
                                  <a:pt x="0" y="2333625"/>
                                </a:moveTo>
                                <a:lnTo>
                                  <a:pt x="6438900" y="2333625"/>
                                </a:lnTo>
                                <a:lnTo>
                                  <a:pt x="643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12192" y="0"/>
                            <a:ext cx="71153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302" h="12192">
                                <a:moveTo>
                                  <a:pt x="0" y="0"/>
                                </a:moveTo>
                                <a:lnTo>
                                  <a:pt x="7115302" y="0"/>
                                </a:lnTo>
                                <a:lnTo>
                                  <a:pt x="71153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712749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0" y="12142"/>
                            <a:ext cx="12192" cy="940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4013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401302"/>
                                </a:lnTo>
                                <a:lnTo>
                                  <a:pt x="0" y="9401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7139686" y="12142"/>
                            <a:ext cx="12192" cy="940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4013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401302"/>
                                </a:lnTo>
                                <a:lnTo>
                                  <a:pt x="0" y="9401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7127494" y="12142"/>
                            <a:ext cx="12192" cy="940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4013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401302"/>
                                </a:lnTo>
                                <a:lnTo>
                                  <a:pt x="0" y="9401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0" y="941344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12192" y="9425636"/>
                            <a:ext cx="71153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302" h="12192">
                                <a:moveTo>
                                  <a:pt x="0" y="0"/>
                                </a:moveTo>
                                <a:lnTo>
                                  <a:pt x="7115302" y="0"/>
                                </a:lnTo>
                                <a:lnTo>
                                  <a:pt x="71153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12192" y="9413444"/>
                            <a:ext cx="71153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302" h="12192">
                                <a:moveTo>
                                  <a:pt x="0" y="0"/>
                                </a:moveTo>
                                <a:lnTo>
                                  <a:pt x="7115302" y="0"/>
                                </a:lnTo>
                                <a:lnTo>
                                  <a:pt x="71153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7139686" y="9413444"/>
                            <a:ext cx="1219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3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7127494" y="9425636"/>
                            <a:ext cx="243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219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7127494" y="941344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5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5" style="width:563.14pt;height:743.136pt;position:absolute;mso-position-horizontal-relative:text;mso-position-horizontal:absolute;margin-left:-29.04pt;mso-position-vertical-relative:text;margin-top:-34.8pt;" coordsize="71518,94378">
                <v:rect id="Rectangle 226" style="position:absolute;width:421;height:1899;left:46749;top:19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42283;height:1899;left:19784;top:20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Naming of the KARIUS Hold Order in Cerner PowerChart</w:t>
                        </w:r>
                      </w:p>
                    </w:txbxContent>
                  </v:textbox>
                </v:rect>
                <v:rect id="Rectangle 229" style="position:absolute;width:421;height:1899;left:51596;top:20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421;height:1899;left:35698;top:22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421;height:1899;left:35698;top:2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421;height:1899;left:65422;top:36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61140;height:1899;left:4358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Right click on the KARIUS Hold Order to Access the “Reference Information” that </w:t>
                        </w:r>
                      </w:p>
                    </w:txbxContent>
                  </v:textbox>
                </v:rect>
                <v:rect id="Rectangle 235" style="position:absolute;width:22587;height:1899;left:50361;top:3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explains the clinical scenarios </w:t>
                        </w:r>
                      </w:p>
                    </w:txbxContent>
                  </v:textbox>
                </v:rect>
                <v:rect id="Rectangle 237" style="position:absolute;width:47031;height:1899;left:18000;top:39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where testing would be appropriate (see attached document).</w:t>
                        </w:r>
                      </w:p>
                    </w:txbxContent>
                  </v:textbox>
                </v:rect>
                <v:rect id="Rectangle 238" style="position:absolute;width:421;height:1899;left:53379;top:39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421;height:1899;left:65422;top:62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57123;height:1899;left:6388;top:64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The provider should select the appropriate clinical scenario for their patient</w:t>
                        </w:r>
                      </w:p>
                    </w:txbxContent>
                  </v:textbox>
                </v:rect>
                <v:rect id="Rectangle 244" style="position:absolute;width:421;height:1899;left:49340;top:64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20821;height:1899;left:49660;top:64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according to the Reference </w:t>
                        </w:r>
                      </w:p>
                    </w:txbxContent>
                  </v:textbox>
                </v:rect>
                <v:rect id="Rectangle 247" style="position:absolute;width:17648;height:1899;left:29069;top:66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Information document.</w:t>
                        </w:r>
                      </w:p>
                    </w:txbxContent>
                  </v:textbox>
                </v:rect>
                <v:rect id="Rectangle 248" style="position:absolute;width:421;height:1899;left:42330;top:66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04" style="position:absolute;width:22098;height:7905;left:24643;top:12672;" filled="f">
                  <v:imagedata r:id="rId8"/>
                </v:shape>
                <v:shape id="Picture 306" style="position:absolute;width:59436;height:12096;left:5974;top:25788;" filled="f">
                  <v:imagedata r:id="rId9"/>
                </v:shape>
                <v:shape id="Picture 308" style="position:absolute;width:59436;height:19208;left:5974;top:44801;" filled="f">
                  <v:imagedata r:id="rId10"/>
                </v:shape>
                <v:shape id="Shape 309" style="position:absolute;width:32480;height:9810;left:19404;top:12655;" coordsize="3248025,981075" path="m0,981075l3248025,981075l3248025,0l0,0x">
                  <v:stroke weight="2pt" endcap="flat" joinstyle="round" on="true" color="#000000"/>
                  <v:fill on="false" color="#000000" opacity="0"/>
                </v:shape>
                <v:shape id="Shape 310" style="position:absolute;width:64389;height:17049;left:3688;top:24950;" coordsize="6438900,1704975" path="m0,1704975l6438900,1704975l6438900,0l0,0x">
                  <v:stroke weight="2pt" endcap="flat" joinstyle="round" on="true" color="#000000"/>
                  <v:fill on="false" color="#000000" opacity="0"/>
                </v:shape>
                <v:shape id="Shape 311" style="position:absolute;width:64389;height:23336;left:3688;top:44278;" coordsize="6438900,2333625" path="m0,2333625l6438900,2333625l6438900,0l0,0x">
                  <v:stroke weight="2pt" endcap="flat" joinstyle="round" on="true" color="#000000"/>
                  <v:fill on="false" color="#000000" opacity="0"/>
                </v:shape>
                <v:shape id="Shape 2806" style="position:absolute;width:121;height:121;left:0;top:0;" coordsize="12192,12192" path="m0,0l12192,0l12192,12192l0,12192l0,0">
                  <v:stroke weight="0pt" endcap="flat" joinstyle="round" on="false" color="#000000" opacity="0"/>
                  <v:fill on="true" color="#455560"/>
                </v:shape>
                <v:shape id="Shape 2807" style="position:absolute;width:71153;height:121;left:121;top:0;" coordsize="7115302,12192" path="m0,0l7115302,0l7115302,12192l0,12192l0,0">
                  <v:stroke weight="0pt" endcap="flat" joinstyle="round" on="false" color="#000000" opacity="0"/>
                  <v:fill on="true" color="#455560"/>
                </v:shape>
                <v:shape id="Shape 2808" style="position:absolute;width:121;height:121;left:71274;top:0;" coordsize="12192,12192" path="m0,0l12192,0l12192,12192l0,12192l0,0">
                  <v:stroke weight="0pt" endcap="flat" joinstyle="round" on="false" color="#000000" opacity="0"/>
                  <v:fill on="true" color="#455560"/>
                </v:shape>
                <v:shape id="Shape 2809" style="position:absolute;width:121;height:94013;left:0;top:121;" coordsize="12192,9401302" path="m0,0l12192,0l12192,9401302l0,9401302l0,0">
                  <v:stroke weight="0pt" endcap="flat" joinstyle="round" on="false" color="#000000" opacity="0"/>
                  <v:fill on="true" color="#455560"/>
                </v:shape>
                <v:shape id="Shape 2810" style="position:absolute;width:121;height:94013;left:71396;top:121;" coordsize="12192,9401302" path="m0,0l12192,0l12192,9401302l0,9401302l0,0">
                  <v:stroke weight="0pt" endcap="flat" joinstyle="round" on="false" color="#000000" opacity="0"/>
                  <v:fill on="true" color="#000000"/>
                </v:shape>
                <v:shape id="Shape 2811" style="position:absolute;width:121;height:94013;left:71274;top:121;" coordsize="12192,9401302" path="m0,0l12192,0l12192,9401302l0,9401302l0,0">
                  <v:stroke weight="0pt" endcap="flat" joinstyle="round" on="false" color="#000000" opacity="0"/>
                  <v:fill on="true" color="#455560"/>
                </v:shape>
                <v:shape id="Shape 2812" style="position:absolute;width:121;height:121;left:0;top:94134;" coordsize="12192,12192" path="m0,0l12192,0l12192,12192l0,12192l0,0">
                  <v:stroke weight="0pt" endcap="flat" joinstyle="round" on="false" color="#000000" opacity="0"/>
                  <v:fill on="true" color="#455560"/>
                </v:shape>
                <v:shape id="Shape 2813" style="position:absolute;width:71153;height:121;left:121;top:94256;" coordsize="7115302,12192" path="m0,0l7115302,0l7115302,12192l0,12192l0,0">
                  <v:stroke weight="0pt" endcap="flat" joinstyle="round" on="false" color="#000000" opacity="0"/>
                  <v:fill on="true" color="#000000"/>
                </v:shape>
                <v:shape id="Shape 2814" style="position:absolute;width:71153;height:121;left:121;top:94134;" coordsize="7115302,12192" path="m0,0l7115302,0l7115302,12192l0,12192l0,0">
                  <v:stroke weight="0pt" endcap="flat" joinstyle="round" on="false" color="#000000" opacity="0"/>
                  <v:fill on="true" color="#455560"/>
                </v:shape>
                <v:shape id="Shape 2815" style="position:absolute;width:121;height:243;left:71396;top:94134;" coordsize="12192,24384" path="m0,0l12192,0l12192,24384l0,24384l0,0">
                  <v:stroke weight="0pt" endcap="flat" joinstyle="round" on="false" color="#000000" opacity="0"/>
                  <v:fill on="true" color="#000000"/>
                </v:shape>
                <v:shape id="Shape 2816" style="position:absolute;width:243;height:121;left:71274;top:94256;" coordsize="24384,12192" path="m0,0l24384,0l24384,12192l0,12192l0,0">
                  <v:stroke weight="0pt" endcap="flat" joinstyle="round" on="false" color="#000000" opacity="0"/>
                  <v:fill on="true" color="#000000"/>
                </v:shape>
                <v:shape id="Shape 2817" style="position:absolute;width:121;height:121;left:71274;top:94134;" coordsize="12192,12192" path="m0,0l12192,0l12192,12192l0,12192l0,0">
                  <v:stroke weight="0pt" endcap="flat" joinstyle="round" on="false" color="#000000" opacity="0"/>
                  <v:fill on="true" color="#455560"/>
                </v:shape>
                <w10:wrap type="square"/>
              </v:group>
            </w:pict>
          </mc:Fallback>
        </mc:AlternateContent>
      </w:r>
      <w:r>
        <w:rPr>
          <w:b/>
          <w:u w:val="single" w:color="000000"/>
        </w:rPr>
        <w:t>KARIUS ordering process:</w:t>
      </w:r>
      <w:r>
        <w:rPr>
          <w:b/>
        </w:rPr>
        <w:t xml:space="preserve"> </w:t>
      </w:r>
    </w:p>
    <w:p w14:paraId="0DC4D4D8" w14:textId="77777777" w:rsidR="005979F4" w:rsidRDefault="006705A7">
      <w:pPr>
        <w:numPr>
          <w:ilvl w:val="0"/>
          <w:numId w:val="1"/>
        </w:numPr>
        <w:ind w:right="996" w:hanging="360"/>
      </w:pPr>
      <w:r>
        <w:lastRenderedPageBreak/>
        <w:t xml:space="preserve">The provider will identify a patient that fits one of the 3 pre-approved clinical scenarios </w:t>
      </w:r>
    </w:p>
    <w:p w14:paraId="532624A1" w14:textId="77777777" w:rsidR="005979F4" w:rsidRDefault="006705A7">
      <w:pPr>
        <w:numPr>
          <w:ilvl w:val="1"/>
          <w:numId w:val="1"/>
        </w:numPr>
        <w:spacing w:after="5"/>
        <w:ind w:right="996" w:hanging="360"/>
      </w:pPr>
      <w:r>
        <w:t xml:space="preserve">The provider </w:t>
      </w:r>
      <w:proofErr w:type="gramStart"/>
      <w:r>
        <w:t>order</w:t>
      </w:r>
      <w:proofErr w:type="gramEnd"/>
      <w:r>
        <w:t xml:space="preserve"> </w:t>
      </w:r>
      <w:r>
        <w:t>the “KARIUS Hold Order” and provide the clinical scenario that matches their patient’s condition.</w:t>
      </w:r>
      <w:r>
        <w:t xml:space="preserve"> </w:t>
      </w:r>
    </w:p>
    <w:p w14:paraId="79581D3C" w14:textId="77777777" w:rsidR="005979F4" w:rsidRDefault="006705A7">
      <w:pPr>
        <w:spacing w:after="4502" w:line="259" w:lineRule="auto"/>
        <w:ind w:left="0" w:firstLine="0"/>
      </w:pPr>
      <w:r>
        <w:t xml:space="preserve"> </w:t>
      </w:r>
    </w:p>
    <w:p w14:paraId="44668474" w14:textId="77777777" w:rsidR="005979F4" w:rsidRDefault="006705A7">
      <w:pPr>
        <w:spacing w:after="0" w:line="259" w:lineRule="auto"/>
        <w:ind w:left="0" w:firstLine="0"/>
      </w:pPr>
      <w:r>
        <w:t xml:space="preserve"> </w:t>
      </w:r>
    </w:p>
    <w:p w14:paraId="2BF42125" w14:textId="77777777" w:rsidR="005979F4" w:rsidRDefault="006705A7">
      <w:pPr>
        <w:spacing w:after="3545" w:line="259" w:lineRule="auto"/>
        <w:ind w:left="0" w:firstLine="0"/>
      </w:pPr>
      <w:r>
        <w:t xml:space="preserve"> </w:t>
      </w:r>
    </w:p>
    <w:p w14:paraId="4FA85B76" w14:textId="77777777" w:rsidR="005979F4" w:rsidRDefault="006705A7">
      <w:pPr>
        <w:spacing w:after="12" w:line="259" w:lineRule="auto"/>
        <w:ind w:left="0" w:firstLine="0"/>
      </w:pPr>
      <w:r>
        <w:t xml:space="preserve"> </w:t>
      </w:r>
    </w:p>
    <w:p w14:paraId="08C9A19A" w14:textId="77777777" w:rsidR="005979F4" w:rsidRDefault="006705A7">
      <w:pPr>
        <w:numPr>
          <w:ilvl w:val="1"/>
          <w:numId w:val="1"/>
        </w:numPr>
        <w:ind w:right="996" w:hanging="360"/>
      </w:pPr>
      <w:r>
        <w:t>The patient’s specimen will be collected</w:t>
      </w:r>
      <w:r>
        <w:t xml:space="preserve"> </w:t>
      </w:r>
      <w:r>
        <w:t xml:space="preserve">and sent to the lab for processing. After processing the plasma specimen, the lab will freeze the specimen and hold it for 3 weeks. </w:t>
      </w:r>
    </w:p>
    <w:p w14:paraId="3A493B5B" w14:textId="77777777" w:rsidR="005979F4" w:rsidRDefault="006705A7">
      <w:pPr>
        <w:numPr>
          <w:ilvl w:val="0"/>
          <w:numId w:val="1"/>
        </w:numPr>
        <w:ind w:right="996" w:hanging="360"/>
      </w:pPr>
      <w:r>
        <w:t xml:space="preserve">The provider should assess the patient to determine whether directed sampling/specimen collection could be achieved to diagnose the infection (e.g., BAL collection, heart valve removal, etc.) </w:t>
      </w:r>
    </w:p>
    <w:p w14:paraId="2676E48E" w14:textId="77777777" w:rsidR="005979F4" w:rsidRDefault="006705A7">
      <w:pPr>
        <w:numPr>
          <w:ilvl w:val="1"/>
          <w:numId w:val="1"/>
        </w:numPr>
        <w:ind w:right="996" w:hanging="360"/>
      </w:pPr>
      <w:r>
        <w:t xml:space="preserve">If the patient is not stable enough for sampling/specimen collection, the provider will order a </w:t>
      </w:r>
      <w:r>
        <w:t xml:space="preserve">“Laboratory Communication” asking the laboratory to send the held KARIUS specimen for </w:t>
      </w:r>
      <w:r>
        <w:t xml:space="preserve">testing. </w:t>
      </w:r>
    </w:p>
    <w:p w14:paraId="3A2AF4E7" w14:textId="77777777" w:rsidR="005979F4" w:rsidRDefault="006705A7">
      <w:pPr>
        <w:numPr>
          <w:ilvl w:val="1"/>
          <w:numId w:val="1"/>
        </w:numPr>
        <w:spacing w:after="5"/>
        <w:ind w:right="996" w:hanging="360"/>
      </w:pPr>
      <w:r>
        <w:t xml:space="preserve">NOTE: </w:t>
      </w:r>
      <w:r>
        <w:t xml:space="preserve">this “Laboratory Communication” order must be submitted within 3 weeks of the original </w:t>
      </w:r>
    </w:p>
    <w:p w14:paraId="1D02092D" w14:textId="77777777" w:rsidR="005979F4" w:rsidRDefault="006705A7">
      <w:pPr>
        <w:spacing w:after="5"/>
        <w:ind w:left="1450" w:right="279" w:hanging="10"/>
      </w:pPr>
      <w:r>
        <w:t>“KARIUS Hold Order.”</w:t>
      </w:r>
      <w:r>
        <w:t xml:space="preserve"> </w:t>
      </w:r>
    </w:p>
    <w:p w14:paraId="7226D338" w14:textId="77777777" w:rsidR="005979F4" w:rsidRDefault="006705A7">
      <w:pPr>
        <w:numPr>
          <w:ilvl w:val="1"/>
          <w:numId w:val="1"/>
        </w:numPr>
        <w:ind w:right="996" w:hanging="360"/>
      </w:pPr>
      <w:r>
        <w:t xml:space="preserve">Laboratory will order the KARIUS testing (directly or through ESOT) and send the testing </w:t>
      </w:r>
      <w:r>
        <w:t>–</w:t>
      </w:r>
      <w:r>
        <w:t xml:space="preserve"> </w:t>
      </w:r>
      <w:r>
        <w:t xml:space="preserve">no additional medical director approvals are needed. </w:t>
      </w:r>
    </w:p>
    <w:sectPr w:rsidR="005979F4">
      <w:pgSz w:w="12240" w:h="15840"/>
      <w:pgMar w:top="509" w:right="0" w:bottom="49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CAE"/>
    <w:multiLevelType w:val="hybridMultilevel"/>
    <w:tmpl w:val="ADC86F40"/>
    <w:lvl w:ilvl="0" w:tplc="4F42ED8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12FCE2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25C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A99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4B3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680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25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650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0D5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4A555D"/>
    <w:multiLevelType w:val="hybridMultilevel"/>
    <w:tmpl w:val="2AD4658C"/>
    <w:lvl w:ilvl="0" w:tplc="185E29B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C8C70">
      <w:start w:val="1"/>
      <w:numFmt w:val="lowerLetter"/>
      <w:lvlText w:val="%2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4EC5E">
      <w:start w:val="1"/>
      <w:numFmt w:val="lowerRoman"/>
      <w:lvlText w:val="%3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096A8">
      <w:start w:val="1"/>
      <w:numFmt w:val="decimal"/>
      <w:lvlText w:val="%4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84E3C">
      <w:start w:val="1"/>
      <w:numFmt w:val="lowerLetter"/>
      <w:lvlText w:val="%5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6152A">
      <w:start w:val="1"/>
      <w:numFmt w:val="lowerRoman"/>
      <w:lvlText w:val="%6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0A8202">
      <w:start w:val="1"/>
      <w:numFmt w:val="decimal"/>
      <w:lvlText w:val="%7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60F1C">
      <w:start w:val="1"/>
      <w:numFmt w:val="lowerLetter"/>
      <w:lvlText w:val="%8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010AA">
      <w:start w:val="1"/>
      <w:numFmt w:val="lowerRoman"/>
      <w:lvlText w:val="%9"/>
      <w:lvlJc w:val="left"/>
      <w:pPr>
        <w:ind w:left="7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380098">
    <w:abstractNumId w:val="0"/>
  </w:num>
  <w:num w:numId="2" w16cid:durableId="180079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F4"/>
    <w:rsid w:val="00077BF3"/>
    <w:rsid w:val="000C1C7A"/>
    <w:rsid w:val="005979F4"/>
    <w:rsid w:val="006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BEAE"/>
  <w15:docId w15:val="{7E31B2F6-587B-4EBC-9B99-754DF98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730" w:hanging="37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Earl Buck</dc:creator>
  <cp:keywords/>
  <cp:lastModifiedBy>Whitley, Donna M</cp:lastModifiedBy>
  <cp:revision>3</cp:revision>
  <dcterms:created xsi:type="dcterms:W3CDTF">2025-12-12T21:24:00Z</dcterms:created>
  <dcterms:modified xsi:type="dcterms:W3CDTF">2025-12-12T21:25:00Z</dcterms:modified>
</cp:coreProperties>
</file>